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0C" w:rsidRPr="00FA7292" w:rsidRDefault="00777B57" w:rsidP="00FA7292">
      <w:pPr>
        <w:spacing w:line="240" w:lineRule="atLeast"/>
        <w:rPr>
          <w:rFonts w:asciiTheme="minorEastAsia" w:hAnsiTheme="minorEastAsia"/>
          <w:sz w:val="24"/>
          <w:szCs w:val="28"/>
        </w:rPr>
      </w:pPr>
      <w:r w:rsidRPr="00FA7292">
        <w:rPr>
          <w:rFonts w:asciiTheme="minorEastAsia" w:hAnsiTheme="minorEastAsia" w:hint="eastAsia"/>
          <w:sz w:val="24"/>
          <w:szCs w:val="28"/>
        </w:rPr>
        <w:t>附件2：</w:t>
      </w:r>
    </w:p>
    <w:tbl>
      <w:tblPr>
        <w:tblW w:w="9820" w:type="dxa"/>
        <w:jc w:val="center"/>
        <w:tblLook w:val="04A0"/>
      </w:tblPr>
      <w:tblGrid>
        <w:gridCol w:w="645"/>
        <w:gridCol w:w="963"/>
        <w:gridCol w:w="2013"/>
        <w:gridCol w:w="1330"/>
        <w:gridCol w:w="1193"/>
        <w:gridCol w:w="1337"/>
        <w:gridCol w:w="1166"/>
        <w:gridCol w:w="1173"/>
      </w:tblGrid>
      <w:tr w:rsidR="006A1ACE" w:rsidRPr="00FA7292" w:rsidTr="00FA7292">
        <w:trPr>
          <w:trHeight w:val="270"/>
          <w:jc w:val="center"/>
        </w:trPr>
        <w:tc>
          <w:tcPr>
            <w:tcW w:w="9820" w:type="dxa"/>
            <w:gridSpan w:val="8"/>
            <w:tcBorders>
              <w:top w:val="nil"/>
              <w:left w:val="nil"/>
              <w:bottom w:val="single" w:sz="4" w:space="0" w:color="auto"/>
              <w:right w:val="nil"/>
            </w:tcBorders>
            <w:shd w:val="clear" w:color="auto" w:fill="auto"/>
            <w:noWrap/>
            <w:vAlign w:val="center"/>
            <w:hideMark/>
          </w:tcPr>
          <w:p w:rsidR="006A1ACE" w:rsidRPr="00FA7292" w:rsidRDefault="006A1ACE" w:rsidP="00FA7292">
            <w:pPr>
              <w:widowControl/>
              <w:spacing w:line="240" w:lineRule="atLeast"/>
              <w:jc w:val="center"/>
              <w:rPr>
                <w:rFonts w:ascii="宋体" w:eastAsia="宋体" w:hAnsi="宋体" w:cs="宋体"/>
                <w:b/>
                <w:bCs/>
                <w:color w:val="000000"/>
                <w:kern w:val="0"/>
                <w:sz w:val="28"/>
                <w:szCs w:val="32"/>
              </w:rPr>
            </w:pPr>
            <w:r w:rsidRPr="00FA7292">
              <w:rPr>
                <w:rFonts w:ascii="宋体" w:eastAsia="宋体" w:hAnsi="宋体" w:cs="宋体" w:hint="eastAsia"/>
                <w:b/>
                <w:bCs/>
                <w:color w:val="000000"/>
                <w:kern w:val="0"/>
                <w:sz w:val="28"/>
                <w:szCs w:val="32"/>
              </w:rPr>
              <w:t>2012年</w:t>
            </w:r>
            <w:r w:rsidR="00777B57" w:rsidRPr="00FA7292">
              <w:rPr>
                <w:rFonts w:ascii="宋体" w:eastAsia="宋体" w:hAnsi="宋体" w:cs="宋体" w:hint="eastAsia"/>
                <w:b/>
                <w:bCs/>
                <w:color w:val="000000"/>
                <w:kern w:val="0"/>
                <w:sz w:val="28"/>
                <w:szCs w:val="32"/>
              </w:rPr>
              <w:t>中税协</w:t>
            </w:r>
            <w:r w:rsidRPr="00FA7292">
              <w:rPr>
                <w:rFonts w:ascii="宋体" w:eastAsia="宋体" w:hAnsi="宋体" w:cs="宋体" w:hint="eastAsia"/>
                <w:b/>
                <w:bCs/>
                <w:color w:val="000000"/>
                <w:kern w:val="0"/>
                <w:sz w:val="28"/>
                <w:szCs w:val="32"/>
              </w:rPr>
              <w:t>远程教育</w:t>
            </w:r>
            <w:r w:rsidR="00777B57" w:rsidRPr="00FA7292">
              <w:rPr>
                <w:rFonts w:ascii="宋体" w:eastAsia="宋体" w:hAnsi="宋体" w:cs="宋体" w:hint="eastAsia"/>
                <w:b/>
                <w:bCs/>
                <w:color w:val="000000"/>
                <w:kern w:val="0"/>
                <w:sz w:val="28"/>
                <w:szCs w:val="32"/>
              </w:rPr>
              <w:t>培训人数统计表</w:t>
            </w:r>
          </w:p>
          <w:p w:rsidR="006A1ACE" w:rsidRPr="00FA7292" w:rsidRDefault="006A1ACE" w:rsidP="00FA7292">
            <w:pPr>
              <w:widowControl/>
              <w:spacing w:line="240" w:lineRule="atLeast"/>
              <w:jc w:val="center"/>
              <w:rPr>
                <w:rFonts w:ascii="楷体_GB2312" w:eastAsia="楷体_GB2312" w:hAnsi="宋体" w:cs="宋体"/>
                <w:bCs/>
                <w:color w:val="000000"/>
                <w:kern w:val="0"/>
                <w:sz w:val="24"/>
                <w:szCs w:val="28"/>
              </w:rPr>
            </w:pPr>
            <w:r w:rsidRPr="00FA7292">
              <w:rPr>
                <w:rFonts w:ascii="楷体_GB2312" w:eastAsia="楷体_GB2312" w:hAnsi="宋体" w:cs="宋体" w:hint="eastAsia"/>
                <w:bCs/>
                <w:color w:val="000000"/>
                <w:kern w:val="0"/>
                <w:sz w:val="24"/>
                <w:szCs w:val="28"/>
              </w:rPr>
              <w:t>（2012年1月1日至12月31日）</w:t>
            </w:r>
          </w:p>
        </w:tc>
      </w:tr>
      <w:tr w:rsidR="006A1ACE" w:rsidRPr="00A24A0D" w:rsidTr="00FA7292">
        <w:trPr>
          <w:trHeight w:val="480"/>
          <w:jc w:val="center"/>
        </w:trPr>
        <w:tc>
          <w:tcPr>
            <w:tcW w:w="645" w:type="dxa"/>
            <w:vMerge w:val="restart"/>
            <w:tcBorders>
              <w:top w:val="nil"/>
              <w:left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序号</w:t>
            </w:r>
          </w:p>
        </w:tc>
        <w:tc>
          <w:tcPr>
            <w:tcW w:w="963" w:type="dxa"/>
            <w:vMerge w:val="restart"/>
            <w:tcBorders>
              <w:top w:val="nil"/>
              <w:left w:val="nil"/>
              <w:right w:val="single" w:sz="4" w:space="0" w:color="auto"/>
            </w:tcBorders>
            <w:shd w:val="clear" w:color="auto" w:fill="auto"/>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地区</w:t>
            </w:r>
          </w:p>
        </w:tc>
        <w:tc>
          <w:tcPr>
            <w:tcW w:w="2013" w:type="dxa"/>
            <w:vMerge w:val="restart"/>
            <w:tcBorders>
              <w:top w:val="nil"/>
              <w:left w:val="nil"/>
              <w:right w:val="single" w:sz="4" w:space="0" w:color="auto"/>
            </w:tcBorders>
            <w:shd w:val="clear" w:color="auto" w:fill="D9D9D9" w:themeFill="background1" w:themeFillShade="D9"/>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执业税务师总数</w:t>
            </w:r>
            <w:r w:rsidRPr="00A24A0D">
              <w:rPr>
                <w:rFonts w:ascii="宋体" w:eastAsia="宋体" w:hAnsi="宋体" w:cs="宋体" w:hint="eastAsia"/>
                <w:color w:val="000000"/>
                <w:kern w:val="0"/>
                <w:sz w:val="18"/>
                <w:szCs w:val="18"/>
              </w:rPr>
              <w:t>（2011年行业数据）</w:t>
            </w:r>
          </w:p>
        </w:tc>
        <w:tc>
          <w:tcPr>
            <w:tcW w:w="2523" w:type="dxa"/>
            <w:gridSpan w:val="2"/>
            <w:tcBorders>
              <w:top w:val="nil"/>
              <w:left w:val="nil"/>
              <w:bottom w:val="single" w:sz="4" w:space="0" w:color="auto"/>
              <w:right w:val="single" w:sz="4" w:space="0" w:color="auto"/>
            </w:tcBorders>
            <w:shd w:val="clear" w:color="auto" w:fill="auto"/>
            <w:vAlign w:val="center"/>
            <w:hideMark/>
          </w:tcPr>
          <w:p w:rsidR="006A1ACE" w:rsidRPr="00A24A0D" w:rsidRDefault="006A1ACE" w:rsidP="00543182">
            <w:pPr>
              <w:jc w:val="center"/>
              <w:rPr>
                <w:rFonts w:ascii="宋体" w:eastAsia="宋体" w:hAnsi="宋体" w:cs="宋体"/>
                <w:color w:val="000000"/>
                <w:kern w:val="0"/>
                <w:sz w:val="22"/>
              </w:rPr>
            </w:pPr>
            <w:r>
              <w:rPr>
                <w:rFonts w:ascii="宋体" w:eastAsia="宋体" w:hAnsi="宋体" w:cs="宋体" w:hint="eastAsia"/>
                <w:color w:val="000000"/>
                <w:kern w:val="0"/>
                <w:sz w:val="22"/>
              </w:rPr>
              <w:t>参加</w:t>
            </w:r>
            <w:r w:rsidRPr="00A24A0D">
              <w:rPr>
                <w:rFonts w:ascii="宋体" w:eastAsia="宋体" w:hAnsi="宋体" w:cs="宋体" w:hint="eastAsia"/>
                <w:color w:val="000000"/>
                <w:kern w:val="0"/>
                <w:sz w:val="22"/>
              </w:rPr>
              <w:t xml:space="preserve">学习人数   </w:t>
            </w:r>
          </w:p>
        </w:tc>
        <w:tc>
          <w:tcPr>
            <w:tcW w:w="1337" w:type="dxa"/>
            <w:vMerge w:val="restart"/>
            <w:tcBorders>
              <w:top w:val="nil"/>
              <w:left w:val="nil"/>
              <w:right w:val="single" w:sz="4" w:space="0" w:color="auto"/>
            </w:tcBorders>
            <w:shd w:val="clear" w:color="auto" w:fill="auto"/>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人均学习时长（分钟）</w:t>
            </w:r>
          </w:p>
        </w:tc>
        <w:tc>
          <w:tcPr>
            <w:tcW w:w="1166" w:type="dxa"/>
            <w:vMerge w:val="restart"/>
            <w:tcBorders>
              <w:top w:val="nil"/>
              <w:left w:val="nil"/>
              <w:right w:val="single" w:sz="4" w:space="0" w:color="auto"/>
            </w:tcBorders>
            <w:shd w:val="clear" w:color="auto" w:fill="D9D9D9" w:themeFill="background1" w:themeFillShade="D9"/>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 xml:space="preserve">人均学时    </w:t>
            </w:r>
          </w:p>
        </w:tc>
        <w:tc>
          <w:tcPr>
            <w:tcW w:w="1173" w:type="dxa"/>
            <w:vMerge w:val="restart"/>
            <w:tcBorders>
              <w:top w:val="nil"/>
              <w:left w:val="nil"/>
              <w:right w:val="single" w:sz="4" w:space="0" w:color="auto"/>
            </w:tcBorders>
            <w:shd w:val="clear" w:color="auto" w:fill="auto"/>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2012年参加学习人数占比</w:t>
            </w:r>
          </w:p>
        </w:tc>
      </w:tr>
      <w:tr w:rsidR="006A1ACE" w:rsidRPr="00A24A0D" w:rsidTr="00FA7292">
        <w:trPr>
          <w:trHeight w:val="555"/>
          <w:jc w:val="center"/>
        </w:trPr>
        <w:tc>
          <w:tcPr>
            <w:tcW w:w="645" w:type="dxa"/>
            <w:vMerge/>
            <w:tcBorders>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p>
        </w:tc>
        <w:tc>
          <w:tcPr>
            <w:tcW w:w="963" w:type="dxa"/>
            <w:vMerge/>
            <w:tcBorders>
              <w:left w:val="nil"/>
              <w:bottom w:val="single" w:sz="4" w:space="0" w:color="auto"/>
              <w:right w:val="single" w:sz="4" w:space="0" w:color="auto"/>
            </w:tcBorders>
            <w:shd w:val="clear" w:color="auto" w:fill="auto"/>
            <w:vAlign w:val="center"/>
            <w:hideMark/>
          </w:tcPr>
          <w:p w:rsidR="006A1ACE" w:rsidRPr="00A24A0D" w:rsidRDefault="006A1ACE" w:rsidP="00543182">
            <w:pPr>
              <w:widowControl/>
              <w:jc w:val="center"/>
              <w:rPr>
                <w:rFonts w:ascii="宋体" w:eastAsia="宋体" w:hAnsi="宋体" w:cs="宋体"/>
                <w:color w:val="000000"/>
                <w:kern w:val="0"/>
                <w:sz w:val="22"/>
              </w:rPr>
            </w:pPr>
          </w:p>
        </w:tc>
        <w:tc>
          <w:tcPr>
            <w:tcW w:w="2013" w:type="dxa"/>
            <w:vMerge/>
            <w:tcBorders>
              <w:left w:val="nil"/>
              <w:bottom w:val="single" w:sz="4" w:space="0" w:color="auto"/>
              <w:right w:val="single" w:sz="4" w:space="0" w:color="auto"/>
            </w:tcBorders>
            <w:shd w:val="clear" w:color="auto" w:fill="D9D9D9" w:themeFill="background1" w:themeFillShade="D9"/>
            <w:vAlign w:val="center"/>
            <w:hideMark/>
          </w:tcPr>
          <w:p w:rsidR="006A1ACE" w:rsidRPr="00A24A0D" w:rsidRDefault="006A1ACE" w:rsidP="00543182">
            <w:pPr>
              <w:widowControl/>
              <w:jc w:val="center"/>
              <w:rPr>
                <w:rFonts w:ascii="宋体" w:eastAsia="宋体" w:hAnsi="宋体" w:cs="宋体"/>
                <w:color w:val="000000"/>
                <w:kern w:val="0"/>
                <w:sz w:val="22"/>
              </w:rPr>
            </w:pP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A1ACE" w:rsidRPr="00A24A0D" w:rsidRDefault="006A1ACE" w:rsidP="00543182">
            <w:pPr>
              <w:jc w:val="center"/>
              <w:rPr>
                <w:rFonts w:ascii="宋体" w:eastAsia="宋体" w:hAnsi="宋体" w:cs="宋体"/>
                <w:color w:val="000000"/>
                <w:kern w:val="0"/>
                <w:sz w:val="22"/>
              </w:rPr>
            </w:pPr>
            <w:r w:rsidRPr="00A24A0D">
              <w:rPr>
                <w:rFonts w:ascii="宋体" w:eastAsia="宋体" w:hAnsi="宋体" w:cs="宋体" w:hint="eastAsia"/>
                <w:color w:val="000000"/>
                <w:kern w:val="0"/>
                <w:sz w:val="18"/>
                <w:szCs w:val="18"/>
              </w:rPr>
              <w:t>2011年(含非执业及助理）</w:t>
            </w:r>
            <w:r w:rsidRPr="00A24A0D">
              <w:rPr>
                <w:rFonts w:ascii="宋体" w:eastAsia="宋体" w:hAnsi="宋体" w:cs="宋体" w:hint="eastAsia"/>
                <w:color w:val="000000"/>
                <w:kern w:val="0"/>
                <w:sz w:val="22"/>
              </w:rPr>
              <w:t xml:space="preserve">   </w:t>
            </w:r>
          </w:p>
        </w:tc>
        <w:tc>
          <w:tcPr>
            <w:tcW w:w="11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A1ACE" w:rsidRPr="00A24A0D" w:rsidRDefault="006A1ACE" w:rsidP="00543182">
            <w:pPr>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2012年</w:t>
            </w:r>
          </w:p>
        </w:tc>
        <w:tc>
          <w:tcPr>
            <w:tcW w:w="1337" w:type="dxa"/>
            <w:vMerge/>
            <w:tcBorders>
              <w:left w:val="nil"/>
              <w:bottom w:val="single" w:sz="4" w:space="0" w:color="auto"/>
              <w:right w:val="single" w:sz="4" w:space="0" w:color="auto"/>
            </w:tcBorders>
            <w:shd w:val="clear" w:color="auto" w:fill="auto"/>
            <w:vAlign w:val="center"/>
            <w:hideMark/>
          </w:tcPr>
          <w:p w:rsidR="006A1ACE" w:rsidRPr="00A24A0D" w:rsidRDefault="006A1ACE" w:rsidP="00543182">
            <w:pPr>
              <w:widowControl/>
              <w:jc w:val="center"/>
              <w:rPr>
                <w:rFonts w:ascii="宋体" w:eastAsia="宋体" w:hAnsi="宋体" w:cs="宋体"/>
                <w:color w:val="000000"/>
                <w:kern w:val="0"/>
                <w:sz w:val="22"/>
              </w:rPr>
            </w:pPr>
          </w:p>
        </w:tc>
        <w:tc>
          <w:tcPr>
            <w:tcW w:w="1166" w:type="dxa"/>
            <w:vMerge/>
            <w:tcBorders>
              <w:left w:val="nil"/>
              <w:bottom w:val="single" w:sz="4" w:space="0" w:color="auto"/>
              <w:right w:val="single" w:sz="4" w:space="0" w:color="auto"/>
            </w:tcBorders>
            <w:shd w:val="clear" w:color="auto" w:fill="D9D9D9" w:themeFill="background1" w:themeFillShade="D9"/>
            <w:vAlign w:val="center"/>
            <w:hideMark/>
          </w:tcPr>
          <w:p w:rsidR="006A1ACE" w:rsidRPr="00A24A0D" w:rsidRDefault="006A1ACE" w:rsidP="00543182">
            <w:pPr>
              <w:widowControl/>
              <w:jc w:val="center"/>
              <w:rPr>
                <w:rFonts w:ascii="宋体" w:eastAsia="宋体" w:hAnsi="宋体" w:cs="宋体"/>
                <w:color w:val="000000"/>
                <w:kern w:val="0"/>
                <w:sz w:val="22"/>
              </w:rPr>
            </w:pPr>
          </w:p>
        </w:tc>
        <w:tc>
          <w:tcPr>
            <w:tcW w:w="1173" w:type="dxa"/>
            <w:vMerge/>
            <w:tcBorders>
              <w:left w:val="nil"/>
              <w:bottom w:val="single" w:sz="4" w:space="0" w:color="auto"/>
              <w:right w:val="single" w:sz="4" w:space="0" w:color="auto"/>
            </w:tcBorders>
            <w:shd w:val="clear" w:color="auto" w:fill="auto"/>
            <w:vAlign w:val="center"/>
            <w:hideMark/>
          </w:tcPr>
          <w:p w:rsidR="006A1ACE" w:rsidRPr="00A24A0D" w:rsidRDefault="006A1ACE" w:rsidP="00543182">
            <w:pPr>
              <w:widowControl/>
              <w:jc w:val="center"/>
              <w:rPr>
                <w:rFonts w:ascii="宋体" w:eastAsia="宋体" w:hAnsi="宋体" w:cs="宋体"/>
                <w:color w:val="000000"/>
                <w:kern w:val="0"/>
                <w:sz w:val="22"/>
              </w:rPr>
            </w:pP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辽宁</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857</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844</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918</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4576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101.7</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107.1%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四川</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1473</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1414</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1504</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2660</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59.1</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102.1%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大连</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478</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593</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480</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2953</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65.6</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100.4%</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西藏</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80</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26</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80</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2731</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60.7</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100.0%</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宁波</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404</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399</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393</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2360</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52.4</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97.3%</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广东</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4011</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2907</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3799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2363</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52.5</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94.7%</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7</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广西</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631</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460</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577</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2146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47.7</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91.4%</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北京</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3450</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2799</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3045</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2052</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45.6</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88.3%</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贵州</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216</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223</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2188</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48.6</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87.5%</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青岛</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440</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227</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379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2116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47.0</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86.1%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11</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青海</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54</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57</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46</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1823</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40.5</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85.2%</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宁夏</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130</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111</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106</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2021</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44.9</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81.5%</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13</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河南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1529</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1260</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1242</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1841</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40.9</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81.2%</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14</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重庆</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615</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237</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486</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2036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45.2</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79.0%</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云南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663</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505</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510</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1992</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44.3</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76.9%</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16</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深圳</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1312</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157</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972</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2031</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45.1</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74.1%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17</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厦门</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425</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319</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301</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1390</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30.9</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70.8%</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山东</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2471</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911</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1702</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1596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35.5</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68.9%</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19</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天津</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658</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385</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453</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1530</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34.0</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68.8%</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陕西</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606</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264</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417</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1532</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34.0</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68.8%</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新疆</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532</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297</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359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1831</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40.7</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67.5%</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22</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浙江</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1855</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724</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1244</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1654</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36.8</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67.1%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23</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河北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1142</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438</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675</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1107</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24.6</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59.1%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24</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内蒙古</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519</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48</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305</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1269</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28.2</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58.8%</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25</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福建</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1012</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203</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577</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953</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21.2</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57.0%</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26</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湖北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1289</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432</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559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814</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18.1</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43.4%</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27</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上海</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802</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48</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347</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884</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19.6</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43.3%</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28</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安徽</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883</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278</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313</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653</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14.5</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35.4%</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29</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江苏</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2227</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0</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670</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474</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10.5</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30.1%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30</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江西</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464</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76</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98</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454</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10.1</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21.1%</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31</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湖南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815</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110</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122</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286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6.4</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15.0%</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32</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甘肃</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395</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13</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216</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4.8</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12.4%</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33</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吉林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501</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85</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38</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137</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3.0</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7.6%</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34</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山西</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695</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89</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46</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109</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2.4</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6.6%</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35</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黑龙江</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384</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0</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19</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97</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2.2</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4.9%</w:t>
            </w:r>
          </w:p>
        </w:tc>
      </w:tr>
      <w:tr w:rsidR="006A1ACE" w:rsidRPr="00A24A0D" w:rsidTr="00FA7292">
        <w:trPr>
          <w:trHeight w:val="20"/>
          <w:jc w:val="center"/>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36</w:t>
            </w:r>
          </w:p>
        </w:tc>
        <w:tc>
          <w:tcPr>
            <w:tcW w:w="96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海南</w:t>
            </w:r>
          </w:p>
        </w:tc>
        <w:tc>
          <w:tcPr>
            <w:tcW w:w="201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228</w:t>
            </w:r>
          </w:p>
        </w:tc>
        <w:tc>
          <w:tcPr>
            <w:tcW w:w="1330"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26</w:t>
            </w:r>
          </w:p>
        </w:tc>
        <w:tc>
          <w:tcPr>
            <w:tcW w:w="1193"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11</w:t>
            </w:r>
          </w:p>
        </w:tc>
        <w:tc>
          <w:tcPr>
            <w:tcW w:w="1337"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61</w:t>
            </w:r>
          </w:p>
        </w:tc>
        <w:tc>
          <w:tcPr>
            <w:tcW w:w="1166" w:type="dxa"/>
            <w:tcBorders>
              <w:top w:val="nil"/>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1.4</w:t>
            </w:r>
          </w:p>
        </w:tc>
        <w:tc>
          <w:tcPr>
            <w:tcW w:w="1173" w:type="dxa"/>
            <w:tcBorders>
              <w:top w:val="nil"/>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4.8%</w:t>
            </w:r>
          </w:p>
        </w:tc>
      </w:tr>
      <w:tr w:rsidR="006A1ACE" w:rsidRPr="00A24A0D" w:rsidTr="00FA7292">
        <w:trPr>
          <w:trHeight w:val="20"/>
          <w:jc w:val="center"/>
        </w:trPr>
        <w:tc>
          <w:tcPr>
            <w:tcW w:w="645" w:type="dxa"/>
            <w:vMerge w:val="restart"/>
            <w:tcBorders>
              <w:top w:val="single" w:sz="4" w:space="0" w:color="auto"/>
              <w:left w:val="single" w:sz="4" w:space="0" w:color="auto"/>
              <w:right w:val="single" w:sz="4" w:space="0" w:color="auto"/>
            </w:tcBorders>
            <w:shd w:val="clear" w:color="auto" w:fill="auto"/>
            <w:noWrap/>
            <w:vAlign w:val="center"/>
            <w:hideMark/>
          </w:tcPr>
          <w:p w:rsidR="006A1ACE" w:rsidRPr="00A24A0D" w:rsidRDefault="006A1ACE" w:rsidP="00543182">
            <w:pPr>
              <w:widowControl/>
              <w:jc w:val="left"/>
              <w:rPr>
                <w:rFonts w:ascii="宋体" w:eastAsia="宋体" w:hAnsi="宋体" w:cs="宋体"/>
                <w:color w:val="000000"/>
                <w:kern w:val="0"/>
                <w:sz w:val="22"/>
              </w:rPr>
            </w:pPr>
            <w:r w:rsidRPr="00A24A0D">
              <w:rPr>
                <w:rFonts w:ascii="宋体" w:eastAsia="宋体" w:hAnsi="宋体" w:cs="宋体" w:hint="eastAsia"/>
                <w:color w:val="000000"/>
                <w:kern w:val="0"/>
                <w:sz w:val="22"/>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合计</w:t>
            </w:r>
          </w:p>
        </w:tc>
        <w:tc>
          <w:tcPr>
            <w:tcW w:w="201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34246</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16983</w:t>
            </w:r>
          </w:p>
        </w:tc>
        <w:tc>
          <w:tcPr>
            <w:tcW w:w="11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23031</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1625</w:t>
            </w:r>
          </w:p>
        </w:tc>
        <w:tc>
          <w:tcPr>
            <w:tcW w:w="1166" w:type="dxa"/>
            <w:vMerge w:val="restart"/>
            <w:tcBorders>
              <w:top w:val="single" w:sz="4" w:space="0" w:color="auto"/>
              <w:left w:val="nil"/>
              <w:right w:val="single" w:sz="4" w:space="0" w:color="auto"/>
            </w:tcBorders>
            <w:shd w:val="clear" w:color="auto" w:fill="D9D9D9" w:themeFill="background1" w:themeFillShade="D9"/>
            <w:noWrap/>
            <w:vAlign w:val="center"/>
            <w:hideMark/>
          </w:tcPr>
          <w:p w:rsidR="006A1ACE" w:rsidRPr="00A24A0D" w:rsidRDefault="006A1ACE" w:rsidP="00543182">
            <w:pPr>
              <w:widowControl/>
              <w:jc w:val="center"/>
              <w:rPr>
                <w:rFonts w:ascii="宋体" w:eastAsia="宋体" w:hAnsi="宋体" w:cs="宋体"/>
                <w:color w:val="000000"/>
                <w:kern w:val="0"/>
                <w:sz w:val="22"/>
              </w:rPr>
            </w:pPr>
            <w:r w:rsidRPr="00A24A0D">
              <w:rPr>
                <w:rFonts w:ascii="宋体" w:eastAsia="宋体" w:hAnsi="宋体" w:cs="宋体" w:hint="eastAsia"/>
                <w:color w:val="000000"/>
                <w:kern w:val="0"/>
                <w:sz w:val="22"/>
              </w:rPr>
              <w:t>36.1</w:t>
            </w:r>
          </w:p>
        </w:tc>
        <w:tc>
          <w:tcPr>
            <w:tcW w:w="1173" w:type="dxa"/>
            <w:vMerge w:val="restart"/>
            <w:tcBorders>
              <w:top w:val="single" w:sz="4" w:space="0" w:color="auto"/>
              <w:left w:val="nil"/>
              <w:right w:val="single" w:sz="4" w:space="0" w:color="auto"/>
            </w:tcBorders>
            <w:shd w:val="clear" w:color="auto" w:fill="auto"/>
            <w:noWrap/>
            <w:vAlign w:val="center"/>
            <w:hideMark/>
          </w:tcPr>
          <w:p w:rsidR="006A1ACE" w:rsidRPr="00A24A0D" w:rsidRDefault="006A1ACE" w:rsidP="00543182">
            <w:pPr>
              <w:widowControl/>
              <w:jc w:val="right"/>
              <w:rPr>
                <w:rFonts w:ascii="宋体" w:eastAsia="宋体" w:hAnsi="宋体" w:cs="宋体"/>
                <w:color w:val="000000"/>
                <w:kern w:val="0"/>
                <w:sz w:val="22"/>
              </w:rPr>
            </w:pPr>
            <w:r w:rsidRPr="00A24A0D">
              <w:rPr>
                <w:rFonts w:ascii="宋体" w:eastAsia="宋体" w:hAnsi="宋体" w:cs="宋体" w:hint="eastAsia"/>
                <w:color w:val="000000"/>
                <w:kern w:val="0"/>
                <w:sz w:val="22"/>
              </w:rPr>
              <w:t>67.3%</w:t>
            </w:r>
          </w:p>
        </w:tc>
      </w:tr>
      <w:tr w:rsidR="006A1ACE" w:rsidRPr="00A24A0D" w:rsidTr="00FA7292">
        <w:trPr>
          <w:trHeight w:val="20"/>
          <w:jc w:val="center"/>
        </w:trPr>
        <w:tc>
          <w:tcPr>
            <w:tcW w:w="645" w:type="dxa"/>
            <w:vMerge/>
            <w:tcBorders>
              <w:left w:val="single" w:sz="4" w:space="0" w:color="auto"/>
              <w:bottom w:val="single" w:sz="4" w:space="0" w:color="auto"/>
              <w:right w:val="single" w:sz="4" w:space="0" w:color="auto"/>
            </w:tcBorders>
            <w:shd w:val="clear" w:color="auto" w:fill="auto"/>
            <w:noWrap/>
            <w:vAlign w:val="center"/>
            <w:hideMark/>
          </w:tcPr>
          <w:p w:rsidR="006A1ACE" w:rsidRPr="00A24A0D" w:rsidRDefault="006A1ACE" w:rsidP="00543182">
            <w:pPr>
              <w:jc w:val="left"/>
              <w:rPr>
                <w:rFonts w:ascii="宋体" w:eastAsia="宋体" w:hAnsi="宋体" w:cs="宋体"/>
                <w:color w:val="000000"/>
                <w:kern w:val="0"/>
                <w:sz w:val="22"/>
              </w:rPr>
            </w:pPr>
          </w:p>
        </w:tc>
        <w:tc>
          <w:tcPr>
            <w:tcW w:w="963" w:type="dxa"/>
            <w:tcBorders>
              <w:top w:val="single" w:sz="4" w:space="0" w:color="auto"/>
              <w:left w:val="nil"/>
              <w:bottom w:val="nil"/>
              <w:right w:val="single" w:sz="4" w:space="0" w:color="auto"/>
            </w:tcBorders>
            <w:shd w:val="clear" w:color="auto" w:fill="auto"/>
            <w:noWrap/>
            <w:vAlign w:val="center"/>
            <w:hideMark/>
          </w:tcPr>
          <w:p w:rsidR="006A1ACE" w:rsidRPr="00A24A0D" w:rsidRDefault="006A1ACE" w:rsidP="00543182">
            <w:pPr>
              <w:jc w:val="center"/>
              <w:rPr>
                <w:rFonts w:ascii="宋体" w:eastAsia="宋体" w:hAnsi="宋体" w:cs="宋体"/>
                <w:color w:val="000000"/>
                <w:kern w:val="0"/>
                <w:sz w:val="22"/>
              </w:rPr>
            </w:pPr>
          </w:p>
        </w:tc>
        <w:tc>
          <w:tcPr>
            <w:tcW w:w="2013" w:type="dxa"/>
            <w:tcBorders>
              <w:top w:val="single" w:sz="4" w:space="0" w:color="auto"/>
              <w:left w:val="nil"/>
              <w:bottom w:val="nil"/>
              <w:right w:val="single" w:sz="4" w:space="0" w:color="auto"/>
            </w:tcBorders>
            <w:shd w:val="clear" w:color="auto" w:fill="auto"/>
            <w:noWrap/>
            <w:vAlign w:val="center"/>
            <w:hideMark/>
          </w:tcPr>
          <w:p w:rsidR="006A1ACE" w:rsidRPr="00A24A0D" w:rsidRDefault="006A1ACE" w:rsidP="00543182">
            <w:pPr>
              <w:jc w:val="center"/>
              <w:rPr>
                <w:rFonts w:ascii="宋体" w:eastAsia="宋体" w:hAnsi="宋体" w:cs="宋体"/>
                <w:color w:val="000000"/>
                <w:kern w:val="0"/>
                <w:sz w:val="22"/>
              </w:rPr>
            </w:pPr>
          </w:p>
        </w:tc>
        <w:tc>
          <w:tcPr>
            <w:tcW w:w="1330" w:type="dxa"/>
            <w:tcBorders>
              <w:top w:val="single" w:sz="4" w:space="0" w:color="auto"/>
              <w:left w:val="nil"/>
              <w:bottom w:val="nil"/>
              <w:right w:val="single" w:sz="4" w:space="0" w:color="auto"/>
            </w:tcBorders>
            <w:shd w:val="clear" w:color="auto" w:fill="auto"/>
            <w:noWrap/>
            <w:vAlign w:val="center"/>
            <w:hideMark/>
          </w:tcPr>
          <w:p w:rsidR="006A1ACE" w:rsidRPr="00A24A0D" w:rsidRDefault="006A1ACE" w:rsidP="00543182">
            <w:pPr>
              <w:jc w:val="center"/>
              <w:rPr>
                <w:rFonts w:ascii="宋体" w:eastAsia="宋体" w:hAnsi="宋体" w:cs="宋体"/>
                <w:color w:val="000000"/>
                <w:kern w:val="0"/>
                <w:sz w:val="22"/>
              </w:rPr>
            </w:pPr>
          </w:p>
        </w:tc>
        <w:tc>
          <w:tcPr>
            <w:tcW w:w="1193" w:type="dxa"/>
            <w:tcBorders>
              <w:top w:val="single" w:sz="4" w:space="0" w:color="auto"/>
              <w:left w:val="nil"/>
              <w:bottom w:val="nil"/>
              <w:right w:val="single" w:sz="4" w:space="0" w:color="auto"/>
            </w:tcBorders>
            <w:shd w:val="clear" w:color="auto" w:fill="auto"/>
            <w:noWrap/>
            <w:vAlign w:val="center"/>
            <w:hideMark/>
          </w:tcPr>
          <w:p w:rsidR="006A1ACE" w:rsidRPr="00A24A0D" w:rsidRDefault="006A1ACE" w:rsidP="00543182">
            <w:pPr>
              <w:jc w:val="center"/>
              <w:rPr>
                <w:rFonts w:ascii="宋体" w:eastAsia="宋体" w:hAnsi="宋体" w:cs="宋体"/>
                <w:color w:val="000000"/>
                <w:kern w:val="0"/>
                <w:sz w:val="22"/>
              </w:rPr>
            </w:pPr>
          </w:p>
        </w:tc>
        <w:tc>
          <w:tcPr>
            <w:tcW w:w="1337" w:type="dxa"/>
            <w:tcBorders>
              <w:top w:val="single" w:sz="4" w:space="0" w:color="auto"/>
              <w:left w:val="nil"/>
              <w:bottom w:val="nil"/>
              <w:right w:val="single" w:sz="4" w:space="0" w:color="auto"/>
            </w:tcBorders>
            <w:shd w:val="clear" w:color="auto" w:fill="auto"/>
            <w:noWrap/>
            <w:vAlign w:val="center"/>
            <w:hideMark/>
          </w:tcPr>
          <w:p w:rsidR="006A1ACE" w:rsidRPr="00A24A0D" w:rsidRDefault="006A1ACE" w:rsidP="00543182">
            <w:pPr>
              <w:jc w:val="center"/>
              <w:rPr>
                <w:rFonts w:ascii="宋体" w:eastAsia="宋体" w:hAnsi="宋体" w:cs="宋体"/>
                <w:color w:val="000000"/>
                <w:kern w:val="0"/>
                <w:sz w:val="22"/>
              </w:rPr>
            </w:pPr>
          </w:p>
        </w:tc>
        <w:tc>
          <w:tcPr>
            <w:tcW w:w="1166" w:type="dxa"/>
            <w:vMerge/>
            <w:tcBorders>
              <w:left w:val="nil"/>
              <w:bottom w:val="single" w:sz="4" w:space="0" w:color="auto"/>
              <w:right w:val="single" w:sz="4" w:space="0" w:color="auto"/>
            </w:tcBorders>
            <w:shd w:val="clear" w:color="auto" w:fill="D9D9D9" w:themeFill="background1" w:themeFillShade="D9"/>
            <w:noWrap/>
            <w:vAlign w:val="center"/>
            <w:hideMark/>
          </w:tcPr>
          <w:p w:rsidR="006A1ACE" w:rsidRPr="00A24A0D" w:rsidRDefault="006A1ACE" w:rsidP="00543182">
            <w:pPr>
              <w:jc w:val="center"/>
              <w:rPr>
                <w:rFonts w:ascii="宋体" w:eastAsia="宋体" w:hAnsi="宋体" w:cs="宋体"/>
                <w:color w:val="000000"/>
                <w:kern w:val="0"/>
                <w:sz w:val="22"/>
              </w:rPr>
            </w:pPr>
          </w:p>
        </w:tc>
        <w:tc>
          <w:tcPr>
            <w:tcW w:w="1173" w:type="dxa"/>
            <w:vMerge/>
            <w:tcBorders>
              <w:left w:val="nil"/>
              <w:bottom w:val="single" w:sz="4" w:space="0" w:color="auto"/>
              <w:right w:val="single" w:sz="4" w:space="0" w:color="auto"/>
            </w:tcBorders>
            <w:shd w:val="clear" w:color="auto" w:fill="auto"/>
            <w:noWrap/>
            <w:vAlign w:val="center"/>
            <w:hideMark/>
          </w:tcPr>
          <w:p w:rsidR="006A1ACE" w:rsidRPr="00A24A0D" w:rsidRDefault="006A1ACE" w:rsidP="00543182">
            <w:pPr>
              <w:jc w:val="right"/>
              <w:rPr>
                <w:rFonts w:ascii="宋体" w:eastAsia="宋体" w:hAnsi="宋体" w:cs="宋体"/>
                <w:color w:val="000000"/>
                <w:kern w:val="0"/>
                <w:sz w:val="22"/>
              </w:rPr>
            </w:pPr>
          </w:p>
        </w:tc>
      </w:tr>
      <w:tr w:rsidR="006A1ACE" w:rsidRPr="00A24A0D" w:rsidTr="00FA7292">
        <w:trPr>
          <w:trHeight w:val="20"/>
          <w:jc w:val="center"/>
        </w:trPr>
        <w:tc>
          <w:tcPr>
            <w:tcW w:w="98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A1ACE" w:rsidRPr="00A24A0D" w:rsidRDefault="006A1ACE" w:rsidP="00543182">
            <w:pPr>
              <w:widowControl/>
              <w:jc w:val="left"/>
              <w:rPr>
                <w:rFonts w:ascii="宋体" w:eastAsia="宋体" w:hAnsi="宋体" w:cs="宋体"/>
                <w:color w:val="000000"/>
                <w:kern w:val="0"/>
                <w:sz w:val="22"/>
              </w:rPr>
            </w:pPr>
            <w:r w:rsidRPr="00A24A0D">
              <w:rPr>
                <w:rFonts w:ascii="宋体" w:eastAsia="宋体" w:hAnsi="宋体" w:cs="宋体" w:hint="eastAsia"/>
                <w:color w:val="000000"/>
                <w:kern w:val="0"/>
                <w:sz w:val="22"/>
              </w:rPr>
              <w:t>备注：1、人均学习时长=总学习时长/执业注册税务师总数（行业数据）</w:t>
            </w:r>
            <w:r w:rsidRPr="00A24A0D">
              <w:rPr>
                <w:rFonts w:ascii="宋体" w:eastAsia="宋体" w:hAnsi="宋体" w:cs="宋体" w:hint="eastAsia"/>
                <w:color w:val="000000"/>
                <w:kern w:val="0"/>
                <w:sz w:val="22"/>
              </w:rPr>
              <w:br/>
              <w:t>2、有的地区参加学习的执业注册税务师数量比行业数据中的人数多是因为2012年已加入网校数据库的人数比2011年的行业数据中的人数多，占比会大于100%。</w:t>
            </w:r>
            <w:r w:rsidRPr="00A24A0D">
              <w:rPr>
                <w:rFonts w:ascii="宋体" w:eastAsia="宋体" w:hAnsi="宋体" w:cs="宋体" w:hint="eastAsia"/>
                <w:color w:val="000000"/>
                <w:kern w:val="0"/>
                <w:sz w:val="22"/>
              </w:rPr>
              <w:br/>
              <w:t>3、人均学时(学时)=人均学习时长（分钟）/45分钟，即把学习时长的分钟数按照每学时45分钟换算。</w:t>
            </w:r>
            <w:r w:rsidRPr="00A24A0D">
              <w:rPr>
                <w:rFonts w:ascii="宋体" w:eastAsia="宋体" w:hAnsi="宋体" w:cs="宋体" w:hint="eastAsia"/>
                <w:color w:val="000000"/>
                <w:kern w:val="0"/>
                <w:sz w:val="22"/>
              </w:rPr>
              <w:br/>
              <w:t>4、学习人数占比=参加学习人数（执业税务师）/执业税务师总数（2011年行业数据）</w:t>
            </w:r>
          </w:p>
        </w:tc>
      </w:tr>
    </w:tbl>
    <w:p w:rsidR="006A1ACE" w:rsidRPr="006A1ACE" w:rsidRDefault="006A1ACE"/>
    <w:sectPr w:rsidR="006A1ACE" w:rsidRPr="006A1ACE" w:rsidSect="00FA7292">
      <w:pgSz w:w="11906" w:h="16838"/>
      <w:pgMar w:top="284" w:right="1797" w:bottom="28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8B" w:rsidRDefault="0056558B" w:rsidP="0002302A">
      <w:r>
        <w:separator/>
      </w:r>
    </w:p>
  </w:endnote>
  <w:endnote w:type="continuationSeparator" w:id="1">
    <w:p w:rsidR="0056558B" w:rsidRDefault="0056558B" w:rsidP="00023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8B" w:rsidRDefault="0056558B" w:rsidP="0002302A">
      <w:r>
        <w:separator/>
      </w:r>
    </w:p>
  </w:footnote>
  <w:footnote w:type="continuationSeparator" w:id="1">
    <w:p w:rsidR="0056558B" w:rsidRDefault="0056558B" w:rsidP="00023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277"/>
    <w:rsid w:val="0002302A"/>
    <w:rsid w:val="00057C54"/>
    <w:rsid w:val="00081500"/>
    <w:rsid w:val="00145874"/>
    <w:rsid w:val="001A41E3"/>
    <w:rsid w:val="00232EEC"/>
    <w:rsid w:val="00356B80"/>
    <w:rsid w:val="00360277"/>
    <w:rsid w:val="003C2B0C"/>
    <w:rsid w:val="0042197C"/>
    <w:rsid w:val="004D27A4"/>
    <w:rsid w:val="004E3C66"/>
    <w:rsid w:val="0056558B"/>
    <w:rsid w:val="006A1ACE"/>
    <w:rsid w:val="00707904"/>
    <w:rsid w:val="00735E9F"/>
    <w:rsid w:val="00760A4D"/>
    <w:rsid w:val="00777B57"/>
    <w:rsid w:val="007E1719"/>
    <w:rsid w:val="00896BD7"/>
    <w:rsid w:val="0095116D"/>
    <w:rsid w:val="009951C0"/>
    <w:rsid w:val="009F4F0D"/>
    <w:rsid w:val="00B179C5"/>
    <w:rsid w:val="00B910A0"/>
    <w:rsid w:val="00BD156C"/>
    <w:rsid w:val="00C061DE"/>
    <w:rsid w:val="00C67658"/>
    <w:rsid w:val="00C865B0"/>
    <w:rsid w:val="00CF7AAA"/>
    <w:rsid w:val="00D10B8A"/>
    <w:rsid w:val="00E43092"/>
    <w:rsid w:val="00EE2DD3"/>
    <w:rsid w:val="00F057E0"/>
    <w:rsid w:val="00FA7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277"/>
    <w:rPr>
      <w:sz w:val="18"/>
      <w:szCs w:val="18"/>
    </w:rPr>
  </w:style>
  <w:style w:type="character" w:customStyle="1" w:styleId="Char">
    <w:name w:val="批注框文本 Char"/>
    <w:basedOn w:val="a0"/>
    <w:link w:val="a3"/>
    <w:uiPriority w:val="99"/>
    <w:semiHidden/>
    <w:rsid w:val="00360277"/>
    <w:rPr>
      <w:sz w:val="18"/>
      <w:szCs w:val="18"/>
    </w:rPr>
  </w:style>
  <w:style w:type="paragraph" w:styleId="a4">
    <w:name w:val="header"/>
    <w:basedOn w:val="a"/>
    <w:link w:val="Char0"/>
    <w:uiPriority w:val="99"/>
    <w:semiHidden/>
    <w:unhideWhenUsed/>
    <w:rsid w:val="000230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2302A"/>
    <w:rPr>
      <w:sz w:val="18"/>
      <w:szCs w:val="18"/>
    </w:rPr>
  </w:style>
  <w:style w:type="paragraph" w:styleId="a5">
    <w:name w:val="footer"/>
    <w:basedOn w:val="a"/>
    <w:link w:val="Char1"/>
    <w:uiPriority w:val="99"/>
    <w:semiHidden/>
    <w:unhideWhenUsed/>
    <w:rsid w:val="0002302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2302A"/>
    <w:rPr>
      <w:sz w:val="18"/>
      <w:szCs w:val="18"/>
    </w:rPr>
  </w:style>
</w:styles>
</file>

<file path=word/webSettings.xml><?xml version="1.0" encoding="utf-8"?>
<w:webSettings xmlns:r="http://schemas.openxmlformats.org/officeDocument/2006/relationships" xmlns:w="http://schemas.openxmlformats.org/wordprocessingml/2006/main">
  <w:divs>
    <w:div w:id="4197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B2C66B-EEFF-4CE9-8A69-42A4CE4F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243</Words>
  <Characters>1389</Characters>
  <Application>Microsoft Office Word</Application>
  <DocSecurity>0</DocSecurity>
  <Lines>11</Lines>
  <Paragraphs>3</Paragraphs>
  <ScaleCrop>false</ScaleCrop>
  <Company>Lenovo (Beijing) Limited</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赵鹏</cp:lastModifiedBy>
  <cp:revision>24</cp:revision>
  <cp:lastPrinted>2013-03-07T02:03:00Z</cp:lastPrinted>
  <dcterms:created xsi:type="dcterms:W3CDTF">2013-03-05T04:35:00Z</dcterms:created>
  <dcterms:modified xsi:type="dcterms:W3CDTF">2013-03-13T06:01:00Z</dcterms:modified>
</cp:coreProperties>
</file>